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7100" w14:textId="7D7C314B" w:rsidR="00271735" w:rsidRDefault="004517E4" w:rsidP="004517E4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E0490D5" wp14:editId="64477C72">
            <wp:extent cx="2749252" cy="1100406"/>
            <wp:effectExtent l="0" t="0" r="0" b="0"/>
            <wp:docPr id="2107725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09" cy="11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D8F5" w14:textId="77777777" w:rsidR="00271735" w:rsidRDefault="00271735" w:rsidP="00271735">
      <w:pPr>
        <w:pStyle w:val="NormalWeb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Hoja de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instrucciones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para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el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paciente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con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</w:rPr>
        <w:t>exploración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</w:rPr>
        <w:t>  PET/CT (Hueso)</w:t>
      </w:r>
    </w:p>
    <w:p w14:paraId="271D9BF5" w14:textId="77777777" w:rsidR="003734A3" w:rsidRDefault="003734A3" w:rsidP="00271735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</w:p>
    <w:p w14:paraId="27270DCA" w14:textId="0E24715C" w:rsidR="00271735" w:rsidRDefault="00271735" w:rsidP="00271735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Fecha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: _______________ Hora de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llegada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: _______ Hora de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: ________</w:t>
      </w:r>
    </w:p>
    <w:p w14:paraId="2048CF9B" w14:textId="77777777" w:rsidR="00271735" w:rsidRDefault="00271735" w:rsidP="00271735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​</w:t>
      </w:r>
    </w:p>
    <w:p w14:paraId="72AC567E" w14:textId="77777777" w:rsidR="003734A3" w:rsidRDefault="00271735" w:rsidP="00271735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Instalación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:</w:t>
      </w:r>
    </w:p>
    <w:p w14:paraId="5C8DD533" w14:textId="0DBC5C0F" w:rsidR="00271735" w:rsidRDefault="00271735" w:rsidP="00271735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__________Fayetteville: 3232 N. North Hills Blvd.   Fayetteville, AR   72703</w:t>
      </w:r>
      <w:r w:rsidR="003734A3">
        <w:rPr>
          <w:rFonts w:ascii="Calibri" w:hAnsi="Calibri" w:cs="Calibri"/>
          <w:b/>
          <w:bCs/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27"/>
          <w:szCs w:val="27"/>
        </w:rPr>
        <w:t> __________Rogers: 808 S. 52 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vertAlign w:val="superscript"/>
        </w:rPr>
        <w:t>nd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 St.   Rogers, AR   72758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br/>
        <w:t> __________Springdale:  </w:t>
      </w:r>
      <w:r>
        <w:rPr>
          <w:rStyle w:val="xxmsonormal"/>
          <w:rFonts w:ascii="Calibri" w:hAnsi="Calibri" w:cs="Calibri"/>
          <w:b/>
          <w:bCs/>
          <w:color w:val="000000"/>
          <w:sz w:val="27"/>
          <w:szCs w:val="27"/>
        </w:rPr>
        <w:t>3901 Parkway Circle, Springdale, AR 72762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br/>
      </w:r>
      <w:r>
        <w:rPr>
          <w:rStyle w:val="xxmsonormal"/>
          <w:rFonts w:ascii="Calibri" w:hAnsi="Calibri" w:cs="Calibri"/>
          <w:b/>
          <w:bCs/>
          <w:color w:val="000000"/>
          <w:sz w:val="27"/>
          <w:szCs w:val="27"/>
        </w:rPr>
        <w:t> __________Mountain Home: 639 Hospital Drive, Mountain Home, AR 72653</w:t>
      </w:r>
    </w:p>
    <w:p w14:paraId="0BB8501D" w14:textId="77777777" w:rsidR="003734A3" w:rsidRDefault="003734A3" w:rsidP="00271735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</w:p>
    <w:p w14:paraId="4838F565" w14:textId="35F4CF0F" w:rsidR="00271735" w:rsidRDefault="00271735" w:rsidP="00271735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Siga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estas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instrucciones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:</w:t>
      </w:r>
    </w:p>
    <w:p w14:paraId="4C2B04CC" w14:textId="77777777" w:rsidR="00271735" w:rsidRDefault="00271735" w:rsidP="00271735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Si es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posible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vístase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ropa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cómoda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y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abrigada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   Evite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artículos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como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joyas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cremalleras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broches de metal,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sujetadores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 aros, etc.  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artículos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deberán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retirarse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antes de la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963EF89" w14:textId="77777777" w:rsidR="00271735" w:rsidRDefault="00271735" w:rsidP="00271735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Beba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muchos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líquidos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después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la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para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ayudar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eliminar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radiofármaco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cuerpo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79E9240C" w14:textId="77777777" w:rsidR="00271735" w:rsidRDefault="00271735" w:rsidP="00271735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Evite a personas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menores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18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años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y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mujeres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embarazadas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hasta 18 horas </w:t>
      </w:r>
      <w:proofErr w:type="spellStart"/>
      <w:r>
        <w:rPr>
          <w:rFonts w:ascii="Calibri" w:hAnsi="Calibri" w:cs="Calibri"/>
          <w:color w:val="000000"/>
          <w:sz w:val="27"/>
          <w:szCs w:val="27"/>
          <w:u w:val="single"/>
        </w:rPr>
        <w:t>después</w:t>
      </w:r>
      <w:proofErr w:type="spellEnd"/>
      <w:r>
        <w:rPr>
          <w:rFonts w:ascii="Calibri" w:hAnsi="Calibri" w:cs="Calibri"/>
          <w:color w:val="000000"/>
          <w:sz w:val="27"/>
          <w:szCs w:val="27"/>
          <w:u w:val="single"/>
        </w:rPr>
        <w:t xml:space="preserve"> de</w:t>
      </w:r>
      <w:r>
        <w:rPr>
          <w:rFonts w:ascii="Calibri" w:hAnsi="Calibri" w:cs="Calibri"/>
          <w:color w:val="000000"/>
          <w:sz w:val="27"/>
          <w:szCs w:val="27"/>
        </w:rPr>
        <w:t xml:space="preserve"> la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 </w:t>
      </w:r>
    </w:p>
    <w:p w14:paraId="0018D2EE" w14:textId="77777777" w:rsidR="00271735" w:rsidRDefault="00271735" w:rsidP="00271735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7"/>
          <w:szCs w:val="27"/>
        </w:rPr>
        <w:t>​</w:t>
      </w:r>
    </w:p>
    <w:p w14:paraId="53609D99" w14:textId="77777777" w:rsidR="00271735" w:rsidRDefault="00271735" w:rsidP="00271735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¿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Qué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 es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una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exploración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ósea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 PET/CT y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cómo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será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 la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prueba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?</w:t>
      </w:r>
    </w:p>
    <w:p w14:paraId="3C8AC5B5" w14:textId="77777777" w:rsidR="00271735" w:rsidRDefault="00271735" w:rsidP="00271735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La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ósea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hueso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 PET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tomografía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emisión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positrones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) es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específica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proporciona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médico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sobre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cambios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cuerpo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nivel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celular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   Una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  PET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puede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proporcionar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que le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permita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médico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realizar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un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diagnóstico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más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temprano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cambiar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tratamiento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cáncer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2CF910A" w14:textId="77777777" w:rsidR="00271735" w:rsidRDefault="00271735" w:rsidP="00271735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lastRenderedPageBreak/>
        <w:t>Después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haber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revisado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historial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y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exámenes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previos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puedan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disponibles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recibirá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inyección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un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radiofármaco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 Luego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tendrás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esperar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mientras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radiofármaco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distribuye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huesos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normalmente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60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minutos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 Una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vez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llegue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momento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comenzar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se le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pedirá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vacíe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vejiga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 Luego, se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recostará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sobre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mesa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acolchada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que se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moverá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través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un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escáner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grande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 forma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dona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 Este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proceso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tardará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entre 25 y 30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minutos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 Es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importante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permanecer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quieto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porque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movimiento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puede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alterar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imágenes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FFBEFC4" w14:textId="77777777" w:rsidR="00271735" w:rsidRDefault="00271735" w:rsidP="00271735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7"/>
          <w:szCs w:val="27"/>
        </w:rPr>
        <w:t>​</w:t>
      </w:r>
    </w:p>
    <w:p w14:paraId="5F2A28D0" w14:textId="77777777" w:rsidR="00271735" w:rsidRDefault="00271735" w:rsidP="004517E4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Si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por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algún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motivo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no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puede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asistir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su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cita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tiene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alguna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pregunta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sobre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la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prueba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llame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nuestro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Departamento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programación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imágenes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al 479-695-4242 NH o al 479-249-9029 BCC o al 870-813-0585 Mountain Home.</w:t>
      </w:r>
    </w:p>
    <w:p w14:paraId="4F0A2476" w14:textId="77777777" w:rsidR="004517E4" w:rsidRDefault="004517E4" w:rsidP="00271735">
      <w:pPr>
        <w:pStyle w:val="NormalWeb"/>
        <w:spacing w:before="0" w:beforeAutospacing="0" w:after="200" w:afterAutospacing="0"/>
        <w:ind w:left="7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</w:p>
    <w:p w14:paraId="6F6CA201" w14:textId="0245E90C" w:rsidR="00271735" w:rsidRDefault="00271735" w:rsidP="004517E4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Además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infórmenos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si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podría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estar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embarazada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si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actualmente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está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amamantando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.   Si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está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amamantando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, la leche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materna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fórmula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previamente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extraída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y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almacenada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debe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sustituir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la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lactancia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materna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durante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12 a 24 horas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después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de la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exploración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.</w:t>
      </w:r>
    </w:p>
    <w:p w14:paraId="358FF687" w14:textId="77777777" w:rsidR="00FE0BBE" w:rsidRDefault="00FE0BBE"/>
    <w:sectPr w:rsidR="009C20FA" w:rsidSect="004517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19A9"/>
    <w:multiLevelType w:val="multilevel"/>
    <w:tmpl w:val="5BFE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51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35"/>
    <w:rsid w:val="00271735"/>
    <w:rsid w:val="003734A3"/>
    <w:rsid w:val="004517E4"/>
    <w:rsid w:val="009342AC"/>
    <w:rsid w:val="009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CEF0"/>
  <w15:chartTrackingRefBased/>
  <w15:docId w15:val="{851A4578-5369-4CAD-8060-AF51E558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msonormal">
    <w:name w:val="xxmsonormal"/>
    <w:basedOn w:val="DefaultParagraphFont"/>
    <w:rsid w:val="0027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0ddbf8-82e5-40db-8204-04c375c988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4E32DDC0D474AAAAFFD650257C1BB" ma:contentTypeVersion="11" ma:contentTypeDescription="Create a new document." ma:contentTypeScope="" ma:versionID="08c23084e91981495fd0a7c417716283">
  <xsd:schema xmlns:xsd="http://www.w3.org/2001/XMLSchema" xmlns:xs="http://www.w3.org/2001/XMLSchema" xmlns:p="http://schemas.microsoft.com/office/2006/metadata/properties" xmlns:ns3="000ddbf8-82e5-40db-8204-04c375c988be" xmlns:ns4="1c94cc8c-020d-4309-9b39-a512aed60033" targetNamespace="http://schemas.microsoft.com/office/2006/metadata/properties" ma:root="true" ma:fieldsID="0806925cb07433ac4f52d60b73e5bea1" ns3:_="" ns4:_="">
    <xsd:import namespace="000ddbf8-82e5-40db-8204-04c375c988be"/>
    <xsd:import namespace="1c94cc8c-020d-4309-9b39-a512aed60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ddbf8-82e5-40db-8204-04c375c9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cc8c-020d-4309-9b39-a512aed60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2B4EC-A145-41C3-89BB-B14E050A2817}">
  <ds:schemaRefs>
    <ds:schemaRef ds:uri="http://schemas.microsoft.com/office/2006/metadata/properties"/>
    <ds:schemaRef ds:uri="http://schemas.microsoft.com/office/infopath/2007/PartnerControls"/>
    <ds:schemaRef ds:uri="000ddbf8-82e5-40db-8204-04c375c988be"/>
  </ds:schemaRefs>
</ds:datastoreItem>
</file>

<file path=customXml/itemProps2.xml><?xml version="1.0" encoding="utf-8"?>
<ds:datastoreItem xmlns:ds="http://schemas.openxmlformats.org/officeDocument/2006/customXml" ds:itemID="{A6393FEF-FF47-473E-8F98-3BF558B0F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4610C-8F23-4479-8A24-87EA08AF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ddbf8-82e5-40db-8204-04c375c988be"/>
    <ds:schemaRef ds:uri="1c94cc8c-020d-4309-9b39-a512aed60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Sanchez</dc:creator>
  <cp:keywords/>
  <dc:description/>
  <cp:lastModifiedBy>Traci Hampton</cp:lastModifiedBy>
  <cp:revision>2</cp:revision>
  <dcterms:created xsi:type="dcterms:W3CDTF">2024-02-22T23:25:00Z</dcterms:created>
  <dcterms:modified xsi:type="dcterms:W3CDTF">2024-02-22T23:25:00Z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0x0101004104E32DDC0D474AAAAFFD650257C1BB</vt:lpwstr>
  </property>
</Properties>
</file>